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734" w:rsidRPr="000C7734" w:rsidRDefault="000C7734" w:rsidP="000C773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C773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Комментарии к ФГОС</w:t>
      </w:r>
    </w:p>
    <w:p w:rsidR="000C7734" w:rsidRPr="000C7734" w:rsidRDefault="000C7734" w:rsidP="000C7734">
      <w:pPr>
        <w:shd w:val="clear" w:color="auto" w:fill="F6F6F6"/>
        <w:spacing w:after="0" w:line="351" w:lineRule="atLeast"/>
        <w:jc w:val="center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КОММЕНТАРИИ К ФГОС ДОШКОЛЬНОГО ОБРАЗОВАНИЯ</w:t>
      </w:r>
    </w:p>
    <w:p w:rsidR="000C7734" w:rsidRPr="000C7734" w:rsidRDefault="000C7734" w:rsidP="000C7734">
      <w:pPr>
        <w:shd w:val="clear" w:color="auto" w:fill="F6F6F6"/>
        <w:spacing w:after="0" w:line="293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C7734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Письмо Министерства образования и науки Российской Федерации</w:t>
      </w:r>
      <w:r w:rsidRPr="000C7734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br/>
        <w:t>от 28 февраля 2014 г. № 08-249</w:t>
      </w:r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Во исполнение пункта 1.3 раздела I Плана действий по обеспечению введения Федерального государственного образовательного стандарта дошкольного образования Министерства образования и науки Российской Федерации (утвержденного Первым заместителем Министра образования и науки Российской Федерации Н.В. Третьяк 31 декабря 2013 г.) Департамент государственной политики в сфере общего образования </w:t>
      </w:r>
      <w:proofErr w:type="spellStart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Минобрнауки</w:t>
      </w:r>
      <w:proofErr w:type="spellEnd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России направляет комментарии по отдельным вопросам введения федерального государственного образовательного </w:t>
      </w:r>
      <w:hyperlink r:id="rId5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0C7734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стандарта</w:t>
        </w:r>
      </w:hyperlink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дошкольного образования</w:t>
      </w:r>
      <w:proofErr w:type="gramEnd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утвержденного приказом </w:t>
      </w:r>
      <w:proofErr w:type="spellStart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Минобрнауки</w:t>
      </w:r>
      <w:proofErr w:type="spellEnd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России от 17 октября 2013 г. № 1155 (зарегистрирован в Минюсте России 14 ноября 2013 г. № 30384).</w:t>
      </w:r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Настоящие комментарии были разработаны ФГАУ "Федеральный институт развития образования" на основе вопросов, возникающих у руководителей и специалистов органов государственной власти субъектов Российской Федерации, осуществляющих государственное управление в сфере образования, руководителей образовательных организаций, реализующих образовательные программы дошкольного образования и практических работников дошкольного образования.</w:t>
      </w:r>
    </w:p>
    <w:p w:rsidR="000C7734" w:rsidRPr="000C7734" w:rsidRDefault="000C7734" w:rsidP="000C7734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Заместитель директора Департамента</w:t>
      </w: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Ю.В.СМИРНОВА</w:t>
      </w:r>
    </w:p>
    <w:p w:rsidR="000C7734" w:rsidRPr="000C7734" w:rsidRDefault="000C7734" w:rsidP="000C7734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C7734" w:rsidRPr="000C7734" w:rsidRDefault="000C7734" w:rsidP="000C7734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Приложение</w:t>
      </w:r>
    </w:p>
    <w:p w:rsidR="000C7734" w:rsidRPr="000C7734" w:rsidRDefault="000C7734" w:rsidP="000C7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КОММЕНТАРИИ</w:t>
      </w: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br/>
        <w:t>К ФЕДЕРАЛЬНОМУ ГОСУДАРСТВЕННОМУ ОБРАЗОВАТЕЛЬНОМУ СТАНДАРТУ</w:t>
      </w: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br/>
        <w:t>ДОШКОЛЬНОГО ОБРАЗОВАНИЯ</w:t>
      </w:r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Комментарии к </w:t>
      </w:r>
      <w:hyperlink r:id="rId6" w:anchor="r1_p1.3_2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0C7734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разделу I пункта 1.3 подпункта 2</w:t>
        </w:r>
      </w:hyperlink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данном </w:t>
      </w:r>
      <w:hyperlink r:id="rId7" w:anchor="r1_p1.3_2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0C7734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пункте</w:t>
        </w:r>
      </w:hyperlink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Федерального государственного образовательного стандарта дошкольного образования (далее - ФГОС </w:t>
      </w:r>
      <w:proofErr w:type="gramStart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</w:t>
      </w:r>
      <w:proofErr w:type="gramEnd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gramStart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Стандарт</w:t>
      </w:r>
      <w:proofErr w:type="gramEnd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 содержится указание на разные возрастные возможности детей при разработке и реализации образовательной программы (далее - Программа) в организации, осуществляющей образовательную деятельность (далее - Организация). На практике чаще всего (в условиях организации одновозрастных групп) Программа формируется для детей разного возраста, с разбивкой на этапы освоения: начальный - для детей раннего (младенческого) возраста, завершающий - старшего дошкольного возраста. Разнообразие возрастных возможностей детей требует создания разных условий, что учитывается требованиями Стандарта. В то же время, данная норма фиксирует приоритет индивидуальных возможностей и интересов ребенка перед содержанием Программы на том или ином этапе ее освоения в группе детей, например, при появлении ребенка в группе детского сада в середине/конце освоения Программы группой. В этом случае педагоги должны ориентироваться на интересы, возможности и склонности ребенка, а не на содержание текущего этапа Программы.</w:t>
      </w:r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Комментарии к </w:t>
      </w:r>
      <w:hyperlink r:id="rId8" w:anchor="r2_p2.2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0C7734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разделу II пункта 2.2</w:t>
        </w:r>
      </w:hyperlink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соответствии с данным </w:t>
      </w:r>
      <w:hyperlink r:id="rId9" w:anchor="r2_p2.2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0C7734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пунктом</w:t>
        </w:r>
      </w:hyperlink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Стандарта, а также с </w:t>
      </w:r>
      <w:hyperlink r:id="rId10" w:anchor="p13" w:history="1">
        <w:r w:rsidRPr="000C7734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пунктом 13</w:t>
        </w:r>
      </w:hyperlink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</w:t>
      </w:r>
      <w:hyperlink r:id="rId11" w:history="1">
        <w:r w:rsidRPr="000C7734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приказ</w:t>
        </w:r>
      </w:hyperlink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proofErr w:type="spellStart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Минобрнауки</w:t>
      </w:r>
      <w:proofErr w:type="spellEnd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России от 30 августа 2013 г. № 1014) группы различной направленности (общеразвивающей, компенсирующей, оздоровительной или комбинированной), являющиеся структурными подразделениями дошкольной образовательной организации (далее - ДОО) и ведущие образовательную деятельность, могут реализовывать разные образовательные программы в</w:t>
      </w:r>
      <w:proofErr w:type="gramEnd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gramStart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соответствии</w:t>
      </w:r>
      <w:proofErr w:type="gramEnd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 требованиями ФГОС ДО и с учетом примерных основных образовательных программ дошкольного образования. При реализации нескольких образовательных программ дошкольного образования каждая из них должна быть утверждена Организацией и соответствовать требованиям </w:t>
      </w:r>
      <w:hyperlink r:id="rId12" w:anchor="st2_9" w:tooltip="Федеральный закон от 29.12.2012 № 273-ФЗ (ред. от 03.02.2014) &quot;Об образовании в Российской Федерации&quot;{КонсультантПлюс}" w:history="1">
        <w:r w:rsidRPr="000C7734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пункта 9 статьи 2</w:t>
        </w:r>
      </w:hyperlink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Федерального закона "Об образовании в Российской Федерации" от 29 декабря 2012 г. № 273-ФЗ (далее - Закон). При этом</w:t>
      </w:r>
      <w:proofErr w:type="gramStart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</w:t>
      </w:r>
      <w:proofErr w:type="gramEnd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если образовательная программа для отдельной группы ДОО разрабатывается с </w:t>
      </w: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использованием примерной основной образовательной программы, обязательная часть образовательной программы группы в соответствии с </w:t>
      </w:r>
      <w:hyperlink r:id="rId13" w:anchor="r2_p2.12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0C7734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пунктом 2.12</w:t>
        </w:r>
      </w:hyperlink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ФГОС ДО может быть оформлена в виде ссылки на соответствующую примерную основную образовательную программу. </w:t>
      </w:r>
      <w:proofErr w:type="gramStart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Часть программы, формируемая участниками образовательных отношений, в соответствии с </w:t>
      </w:r>
      <w:hyperlink r:id="rId14" w:anchor="r2_p2.12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0C7734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пунктом 2.12</w:t>
        </w:r>
      </w:hyperlink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ФГОС ДО также может быть оформлена в виде ссылки на соответствующую методическую литературу, представляющую парциальные программы и/или методические разработки, используемые группой при реализации этой части программы.</w:t>
      </w:r>
      <w:proofErr w:type="gramEnd"/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Если образовательная программа группы разрабатывается исключительно на основании требований ФГОС ДО без учета примерной (примерных) программ, то обязательная часть и часть, формируемая участниками образовательного процесса, разрабатываются в соответствии с требованиями </w:t>
      </w:r>
      <w:hyperlink r:id="rId15" w:anchor="r2_p2.11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0C7734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пункта 2.11</w:t>
        </w:r>
      </w:hyperlink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ФГОС </w:t>
      </w:r>
      <w:proofErr w:type="gramStart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</w:t>
      </w:r>
      <w:proofErr w:type="gramEnd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Комментарии к </w:t>
      </w:r>
      <w:hyperlink r:id="rId16" w:anchor="r2_p2.5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0C7734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разделу II пункта 2.5</w:t>
        </w:r>
      </w:hyperlink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Данная </w:t>
      </w:r>
      <w:hyperlink r:id="rId17" w:anchor="r2_p2.5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0C7734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норма</w:t>
        </w:r>
      </w:hyperlink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предполагает, что при разработке образовательной программы (программ) конкретной Организации могут использоваться примерные основные образовательные программы дошкольного образования, входящие в реестр примерных основных образовательных программ (</w:t>
      </w:r>
      <w:hyperlink r:id="rId18" w:anchor="st12" w:tooltip="Федеральный закон от 29.12.2012 № 273-ФЗ (ред. от 03.02.2014) &quot;Об образовании в Российской Федерации&quot;{КонсультантПлюс}" w:history="1">
        <w:r w:rsidRPr="000C7734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статья 12</w:t>
        </w:r>
      </w:hyperlink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Закона). Организация (группа) может разрабатывать программы самостоятельно, не опираясь на какую (какие</w:t>
      </w:r>
      <w:proofErr w:type="gramStart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)-</w:t>
      </w:r>
      <w:proofErr w:type="gramEnd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либо примерные программы. Употребленный в данном </w:t>
      </w:r>
      <w:hyperlink r:id="rId19" w:anchor="r2_p2.5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0C7734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пункте</w:t>
        </w:r>
      </w:hyperlink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а также в </w:t>
      </w:r>
      <w:hyperlink r:id="rId20" w:tooltip="Федеральный закон от 29.12.2012 № 273-ФЗ (ред. от 03.02.2014) &quot;Об образовании в Российской Федерации&quot;{КонсультантПлюс}" w:history="1">
        <w:r w:rsidRPr="000C7734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Законе</w:t>
        </w:r>
      </w:hyperlink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термин "с учетом" означает право и предоставленную Организации возможность ознакомиться с существующими примерными программами, оценить их пригодность для своей образовательной деятельности и принять решение об использовании или неиспользовании данных примерных программ при разработке программы (программ) ДОО.</w:t>
      </w:r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Выбор режима работы дошкольной группы осуществляется Организацией самостоятельно (с учетом объема решаемых задач, мнений участников образовательных отношений). Таким </w:t>
      </w:r>
      <w:proofErr w:type="gramStart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образом</w:t>
      </w:r>
      <w:proofErr w:type="gramEnd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обеспечивается соответствие организационных особенностей реализации Программы ее содержанию. Для обеспечения бюджетного финансирования всего времени работы педагогического и учебно-вспомогательного персонала в группе продолжительность реализации Программы в сутки должна соответствовать выбранному режиму работы группы, что должно быть отражено в Программе. При функционировании в Организации групп с несколькими различными режимами пребывания детей Программа должна учитывать возможность ее реализации в соответствующих группах, либо для каждого режима должны быть разработаны соответствующие программы (при этом различия этих программ могут быть незначительны). Право реализации нескольких основных общеобразовательных программ закреплено </w:t>
      </w:r>
      <w:hyperlink r:id="rId21" w:anchor="st12" w:tooltip="Федеральный закон от 29.12.2012 № 273-ФЗ (ред. от 03.02.2014) &quot;Об образовании в Российской Федерации&quot;{КонсультантПлюс}" w:history="1">
        <w:r w:rsidRPr="000C7734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статьей 12</w:t>
        </w:r>
      </w:hyperlink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Закона. Программа может соответствовать любому режиму работы группы, не превышающему 14 часов в сутки. В случае</w:t>
      </w:r>
      <w:proofErr w:type="gramStart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</w:t>
      </w:r>
      <w:proofErr w:type="gramEnd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если режим работы группы превышает 14 часов в сутки, Программа реализуется не более 14 часов от всего времени пребывания детей.</w:t>
      </w:r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Реализация программы не подразумевает ограничений на оказание дополнительных</w:t>
      </w: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платных образовательных услуг воспитанникам. </w:t>
      </w:r>
      <w:proofErr w:type="gramStart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Получение воспитанниками таких услуг должно регламентироваться договорами (в соответствии с утвержденной примерной формой договора об образовании по образовательным программам дошкольного образования, приказ </w:t>
      </w:r>
      <w:proofErr w:type="spellStart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Минобрнауки</w:t>
      </w:r>
      <w:proofErr w:type="spellEnd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России от 13 января 2014 г. № 8 (направлен в Минюст России на государственную регистрацию).</w:t>
      </w:r>
      <w:proofErr w:type="gramEnd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 случае если Программа реализуется в течение всего времени пребывания детей в Организации (продолжительность работы группы соответствует продолжительности реализации Программы) получение воспитанником дополнительной платной услуги может осуществляться одновременно с реализацией Программы в группе при условии фактического отсутствия воспитанника в группе. </w:t>
      </w:r>
      <w:r w:rsidRPr="000C77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Поскольку дошкольное образование не является обязательным, родители (законные представители) воспитанника</w:t>
      </w: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используют свое право на выбор формы получения ребенком образования и Организации, осуществляющей образовательную деятельность. При этом, в случае если хотя бы один ребенок фактически остается в группе, реализация Программы в ней не прекращается, прерывается лишь получение образования воспитанником, получающим дополнительную услугу. Поскольку дополнительное образование детей также является важным элементом развития детей, и ограничение их в его получении неконституционно, Организация не может повлиять на решение родителей о порядке посещения ребенком дошкольной группы. Независимо от количества детей в группе для обеспечения реализации Программы требуется </w:t>
      </w:r>
      <w:proofErr w:type="gramStart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создать</w:t>
      </w:r>
      <w:proofErr w:type="gramEnd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 том числе необходимые кадровые условия. При этом финансовое обеспечение кадровых условий определяется в зависимости от нормативного количества детей в группе. Следовательно, временное отсутствие ребенка в группе по причине получения дополнительной образовательной услуги не может рассматриваться в качестве основания для пересмотра нормативов </w:t>
      </w: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финансирования. Также, фактическое финансирование реализации Программы через обеспечение создания требуемых условий означает, что временное отсутствие ребенка в группе, не влияющее на изменение условий реализации Программы, не должно рассматриваться как нецелевое использование бюджетных средств. В то же время, вопрос параллельного освоения Программы и дополнительных общеобразовательных программ в одной Организации должен регулироваться локальными нормативными правовыми актами такой Организации.</w:t>
      </w:r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Комментарии к </w:t>
      </w:r>
      <w:hyperlink r:id="rId22" w:anchor="r2_p2.7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0C7734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разделу II пункта 2.7 (первый абзац)</w:t>
        </w:r>
      </w:hyperlink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Указанная </w:t>
      </w:r>
      <w:hyperlink r:id="rId23" w:anchor="r2_p2.7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0C7734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норма</w:t>
        </w:r>
      </w:hyperlink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означает, что содержание образовательной программы (программ) ДОО не должно быть заранее расписано по конкретным образовательным областям, поскольку оно определяется конкретной ситуацией в группе, а именно: индивидуальными склонностями детей, их интересами, особенностями развития. Педагоги, работающие по программам, ориентированным на ребенка, обычно формируют содержание по ходу образовательной деятельности, решая задачи развития детей в зависимости от сложившейся образовательной ситуации, опираясь на интересы отдельного ребенка или группы детей. Это означает, что конкретное содержание образовательной программы </w:t>
      </w:r>
      <w:proofErr w:type="gramStart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выполняет роль</w:t>
      </w:r>
      <w:proofErr w:type="gramEnd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средства развития, подбирается по мере постановки и решения развивающих задач и не всегда может быть задано заранее. Кроме того, на практике конкретное содержание образовательной деятельности обычно обеспечивает развитие детей одновременно в разных областях - например, в области социально-коммуникативного, познавательного и речевого развития, или социально-коммуникативного, художественно эстетического и физического развития и т.д. Таким образом, определенная образовательная технология или содержательное наполнение образовательной деятельности часто связано с работой педагога одновременно в разных образовательных областях.</w:t>
      </w:r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то же время, существуют примерные программы, которые подробно расписывают определенное образовательное содержание. Если Организация принимает за основу своей Программы такую примерную программу, следует сделать ссылку именно на эту Программу.</w:t>
      </w:r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Комментарии к </w:t>
      </w:r>
      <w:hyperlink r:id="rId24" w:anchor="r2_p2.9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0C7734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разделу II пункта 2.9 (второй абзац)</w:t>
        </w:r>
      </w:hyperlink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Данная </w:t>
      </w:r>
      <w:hyperlink r:id="rId25" w:anchor="r2_p2.9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0C7734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статья</w:t>
        </w:r>
      </w:hyperlink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ФГОС </w:t>
      </w:r>
      <w:proofErr w:type="gramStart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</w:t>
      </w:r>
      <w:proofErr w:type="gramEnd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подчеркивает </w:t>
      </w:r>
      <w:proofErr w:type="gramStart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взаимодополняющий</w:t>
      </w:r>
      <w:proofErr w:type="gramEnd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характер детского развития в пяти образовательных областях.</w:t>
      </w:r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Комментарии к </w:t>
      </w:r>
      <w:hyperlink r:id="rId26" w:anchor="r2_p2.10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0C7734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разделу II пункта 2.10</w:t>
        </w:r>
      </w:hyperlink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Соотношение частей образовательной программы носит рекомендательный характер и призвано примерно </w:t>
      </w:r>
      <w:proofErr w:type="gramStart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оценить</w:t>
      </w:r>
      <w:proofErr w:type="gramEnd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пропорцию между обязательной частью программы и частью, формируемой участниками образовательных отношений. Надо иметь в виду, что необязательный характер уровня дошкольного образования не позволяет устанавливать жесткое соотношение частей программы ДОО. Стандарт ориентирован на поддержку образовательной деятельности ДОО как программы позитивной социализации и индивидуализации детей дошкольного возраста, предполагающей организацию образовательной деятельности в зависимости от индивидуальных особенностей каждого ребенка, что затрудняет строгое определение объема обязательной части программы в ДОО.</w:t>
      </w:r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Комментарии к </w:t>
      </w:r>
      <w:hyperlink r:id="rId27" w:anchor="r3_p3.1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0C7734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разделу III пункта 3.1</w:t>
        </w:r>
      </w:hyperlink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данном </w:t>
      </w:r>
      <w:hyperlink r:id="rId28" w:anchor="r3_p3.1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0C7734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пункте</w:t>
        </w:r>
      </w:hyperlink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употребляются два сходных термина, которые, тем не менее, относятся к разному содержанию и которые следует различать: "развивающая предметно-пространственная среда" и "образовательная среда".</w:t>
      </w:r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Развивающая предметно-пространственная среда - это специфические для каждой Программы Организации (группы) образовательное оборудование, материалы, мебель и т.п., в сочетании с определенными принципами разделения пространства Организации (группы).</w:t>
      </w:r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Под образовательной средой подразумевается весь комплекс условий, которые обеспечивают развитие детей в дошкольной образовательной организации, в том числе развивающая предметно-пространственная среда, взаимодействие между педагогами и детьми, детская игра, развивающее предметное содержание образовательных областей и другие условия, перечисленные в Стандарте.</w:t>
      </w:r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Комментарии к </w:t>
      </w:r>
      <w:hyperlink r:id="rId29" w:anchor="r3_p3.2.2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0C7734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разделу III пункта 3.2.2</w:t>
        </w:r>
      </w:hyperlink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и к </w:t>
      </w:r>
      <w:hyperlink r:id="rId30" w:anchor="r3_p3.4.4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0C7734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3.4.4</w:t>
        </w:r>
      </w:hyperlink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В соответствии с </w:t>
      </w:r>
      <w:hyperlink r:id="rId31" w:anchor="st79_3" w:tooltip="Федеральный закон от 29.12.2012 № 273-ФЗ (ред. от 03.02.2014) &quot;Об образовании в Российской Федерации&quot;{КонсультантПлюс}" w:history="1">
        <w:r w:rsidRPr="000C7734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частью 3 статьи 79</w:t>
        </w:r>
      </w:hyperlink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Закона под специальными условиями для получения </w:t>
      </w:r>
      <w:proofErr w:type="gramStart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образования</w:t>
      </w:r>
      <w:proofErr w:type="gramEnd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обучающимися с ограниченными возможностями здоровья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</w:t>
      </w:r>
      <w:proofErr w:type="gramStart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необходимую техническую помощь, проведение групповых и индивидуальных коррекционных занятий, обеспечение доступа в здания Организаций и другие условия, без которых невозможно или затруднено освоение Программ обучающимися с ограниченными возможностями здоровья.</w:t>
      </w:r>
      <w:proofErr w:type="gramEnd"/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соответствии с Федеральным законом от 24 ноября 1995 г. № 181-ФЗ "О социальной защите инвалидов в Российской Федерации" (далее - Федеральный закон № 181-ФЗ) специальные условия должны быть внесены в индивидуальную программу реабилитации инвалида (далее - ИПР). ИПР является обязательной для исполнения всеми без исключения органами и организациями. Порядок разработки индивидуальной программы реабилитации инвалида утвержден приказом Министерства здравоохранения и социального развития Российской Федерации от 4 августа 2008 г. № 379н.</w:t>
      </w:r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Объем и содержание услуг ассистента (помощника), оказывающего обучающимся необходимую техническую помощь, определяются Индивидуальной программой реабилитации инвалида (перечень реабилитационных мероприятий, направленных на восстановление способностей инвалида к бытовой, общественной, профессиональной деятельности в соответствии со структурой его потребностей, кругом интересов и уровнем притязаний (Постановление Министерства труда и социального развития Российской Федерации от 14 декабря 1996 г. № 14).</w:t>
      </w:r>
      <w:proofErr w:type="gramEnd"/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Комментарии к </w:t>
      </w:r>
      <w:hyperlink r:id="rId32" w:anchor="r3_p3.2.3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0C7734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разделу III пункта 3.2.3</w:t>
        </w:r>
      </w:hyperlink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Оценка индивидуального развития детей представлена в Стандарте в двух формах диагностики - педагогической и психологической. Под педагогической диагностикой понимается такая оценка развития детей, которая необходима педагогу, непосредственно работающему с детьми, для получения "обратной связи" в процессе взаимодействия с ребенком или с группой детей. При этом согласно данной </w:t>
      </w:r>
      <w:proofErr w:type="spellStart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fldChar w:fldCharType="begin"/>
      </w: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instrText xml:space="preserve"> HYPERLINK "http://xn--273--84d1f.xn--p1ai/akty_minobrnauki_rossii/prikaz-minobrnauki-rf-ot-17102013-no-1155" \l "r3_p3.2.3" \o "Приказ Минобрнауки России от 17.10.2013 № 1155 \"Об утверждении федерального государственного образовательного стандарта дошкольного образования\" (Зарегистрировано в Минюсте России 14.11.2013 № 30384){КонсультантПлюс}" </w:instrText>
      </w: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fldChar w:fldCharType="separate"/>
      </w:r>
      <w:r w:rsidRPr="000C7734">
        <w:rPr>
          <w:rFonts w:ascii="Times New Roman" w:eastAsia="Times New Roman" w:hAnsi="Times New Roman" w:cs="Times New Roman"/>
          <w:color w:val="0079CC"/>
          <w:sz w:val="18"/>
          <w:szCs w:val="18"/>
          <w:u w:val="single"/>
          <w:bdr w:val="none" w:sz="0" w:space="0" w:color="auto" w:frame="1"/>
          <w:lang w:eastAsia="ru-RU"/>
        </w:rPr>
        <w:t>статье</w:t>
      </w: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fldChar w:fldCharType="end"/>
      </w: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Стандарта</w:t>
      </w:r>
      <w:proofErr w:type="spellEnd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такая оценка индивидуального развития детей, прежде всего, является профессиональным инструментом педагога, которым он может воспользоваться при необходимости получения им информации об уровне актуального развития ребенка или о динамике такого развития по мере реализации Программы.</w:t>
      </w:r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 </w:t>
      </w:r>
      <w:hyperlink r:id="rId33" w:anchor="r3_p3.2.3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0C7734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статье</w:t>
        </w:r>
      </w:hyperlink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предусмотрены задачи, для решения которых могут использоваться результаты педагогической диагностики:</w:t>
      </w:r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 индивидуализация образования, которая может предполагать поддержку ребенка, построение его образовательной траектории или коррекцию его развития в рамках профессиональной компетенции педагога;</w:t>
      </w:r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 оптимизация работы с группой детей.</w:t>
      </w:r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 или проводить ее самостоятельно. Данные, полученные в результате такой оценки, также являются профессиональными материалами самого педагога и не подлежат проверке в процессе контроля и надзора. Та или иная степень обязательности проведения педагогом педагогической диагностики определяется Программой. При этом проведение педагогической диагностики не может быть вменено в обязанность педагогу, если не созданы условия для ее проведения, включая обеспечение специального обучения. Контроль за эффективностью деятельности педагога, которая, в том числе, может включать педагогическую оценку, может проводиться в процессе независимой оценки качества образования в Организации (</w:t>
      </w:r>
      <w:hyperlink r:id="rId34" w:anchor="r1_p1.7_4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0C7734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подпункт 4 пункта 1.7</w:t>
        </w:r>
      </w:hyperlink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ФГОС </w:t>
      </w:r>
      <w:proofErr w:type="gramStart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</w:t>
      </w:r>
      <w:proofErr w:type="gramEnd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; </w:t>
      </w:r>
      <w:hyperlink r:id="rId35" w:anchor="st95" w:tooltip="Федеральный закон от 29.12.2012 № 273-ФЗ (ред. от 03.02.2014) &quot;Об образовании в Российской Федерации&quot;{КонсультантПлюс}" w:history="1">
        <w:proofErr w:type="gramStart"/>
        <w:r w:rsidRPr="000C7734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статья</w:t>
        </w:r>
        <w:proofErr w:type="gramEnd"/>
        <w:r w:rsidRPr="000C7734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95</w:t>
        </w:r>
      </w:hyperlink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Закона).</w:t>
      </w:r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Психологическую диагностику индивидуального развития ребенка проводят по мере необходимости квалифицированные специалисты - психологи и/или педагоги-психологи. Ее результаты используются для квалифицированной коррекции развития детей или для решения задач психологического сопровождения развития ребенка (группы детей).</w:t>
      </w:r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Для участия ребенка в психологической диагностике в обязательном порядке требуется согласие его родителей (законных представителей). Если Организация является экспериментальной площадкой (участником) относительно длительной исследовательской программы, этот факт должен быть отражен в </w:t>
      </w: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Договоре между Организацией и родителями (законными представителями) ребенка с целью получения их информированного согласия на постоянное исследование развития ребенка.</w:t>
      </w:r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соответствии с </w:t>
      </w:r>
      <w:hyperlink r:id="rId36" w:tooltip="Приказ Минобрнауки России от 20.09.2013 № 1082 &quot;Об утверждении Положения о психолого-медико-педагогической комиссии&quot; (Зарегистрировано в Минюсте России 23.10.2013 № 30242){КонсультантПлюс}" w:history="1">
        <w:r w:rsidRPr="000C7734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Положением</w:t>
        </w:r>
      </w:hyperlink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о психолого-медико-педагогической комиссии, утвержденным приказом </w:t>
      </w:r>
      <w:proofErr w:type="spellStart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Минобрнауки</w:t>
      </w:r>
      <w:proofErr w:type="spellEnd"/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России от 20 сентября 2013 г. № 1082, ребенку с ограниченными возможностями здоровья необходимо пройти обследование на заседании психолого-медико-педагогической комиссии (далее - ПМПК) и получить рекомендации.</w:t>
      </w:r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соответствии с </w:t>
      </w:r>
      <w:hyperlink r:id="rId37" w:anchor="p10" w:tooltip="Приказ Минобрнауки России от 20.09.2013 № 1082 &quot;Об утверждении Положения о психолого-медико-педагогической комиссии&quot; (Зарегистрировано в Минюсте России 23.10.2013 № 30242){КонсультантПлюс}" w:history="1">
        <w:r w:rsidRPr="000C7734">
          <w:rPr>
            <w:rFonts w:ascii="Times New Roman" w:eastAsia="Times New Roman" w:hAnsi="Times New Roman" w:cs="Times New Roman"/>
            <w:color w:val="0079CC"/>
            <w:sz w:val="18"/>
            <w:szCs w:val="18"/>
            <w:u w:val="single"/>
            <w:bdr w:val="none" w:sz="0" w:space="0" w:color="auto" w:frame="1"/>
            <w:lang w:eastAsia="ru-RU"/>
          </w:rPr>
          <w:t>пунктом 10</w:t>
        </w:r>
      </w:hyperlink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вышеуказанного Положения основными направлениями деятельности комиссии являются:</w:t>
      </w:r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а) проведение обследования детей в возрасте от 0 до 18 лет в целях своевременного выявления особенностей в физическом и (или) психическом развитии и (или) отклонений в поведении детей;</w:t>
      </w:r>
    </w:p>
    <w:p w:rsidR="000C7734" w:rsidRPr="000C7734" w:rsidRDefault="000C7734" w:rsidP="000C7734">
      <w:pPr>
        <w:shd w:val="clear" w:color="auto" w:fill="F6F6F6"/>
        <w:spacing w:after="0" w:line="270" w:lineRule="atLeast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7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б) подготовка по результатам обследования рекомендаций по оказанию детям психолого-медико-педагогической помощи и организации их обуче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ния.</w:t>
      </w:r>
      <w:bookmarkStart w:id="0" w:name="_GoBack"/>
      <w:bookmarkEnd w:id="0"/>
    </w:p>
    <w:p w:rsidR="003E6CCB" w:rsidRPr="00FE47BA" w:rsidRDefault="003E6CCB">
      <w:pPr>
        <w:rPr>
          <w:sz w:val="28"/>
          <w:szCs w:val="28"/>
        </w:rPr>
      </w:pPr>
    </w:p>
    <w:sectPr w:rsidR="003E6CCB" w:rsidRPr="00FE4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E4E"/>
    <w:rsid w:val="000C7734"/>
    <w:rsid w:val="00284062"/>
    <w:rsid w:val="0028794E"/>
    <w:rsid w:val="003E6CCB"/>
    <w:rsid w:val="007F33A4"/>
    <w:rsid w:val="00D923B7"/>
    <w:rsid w:val="00DE7A96"/>
    <w:rsid w:val="00E04C97"/>
    <w:rsid w:val="00F73E4E"/>
    <w:rsid w:val="00FE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33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33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1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akty_minobrnauki_rossii/prikaz-minobrnauki-rf-ot-17102013-no-1155" TargetMode="External"/><Relationship Id="rId13" Type="http://schemas.openxmlformats.org/officeDocument/2006/relationships/hyperlink" Target="http://xn--273--84d1f.xn--p1ai/akty_minobrnauki_rossii/prikaz-minobrnauki-rf-ot-17102013-no-1155" TargetMode="External"/><Relationship Id="rId18" Type="http://schemas.openxmlformats.org/officeDocument/2006/relationships/hyperlink" Target="http://xn--273--84d1f.xn--p1ai/zakonodatelstvo/federalnyy-zakon-ot-29-dekabrya-2012-g-no-273-fz-ob-obrazovanii-v-rf" TargetMode="External"/><Relationship Id="rId26" Type="http://schemas.openxmlformats.org/officeDocument/2006/relationships/hyperlink" Target="http://xn--273--84d1f.xn--p1ai/akty_minobrnauki_rossii/prikaz-minobrnauki-rf-ot-17102013-no-1155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xn--273--84d1f.xn--p1ai/zakonodatelstvo/federalnyy-zakon-ot-29-dekabrya-2012-g-no-273-fz-ob-obrazovanii-v-rf" TargetMode="External"/><Relationship Id="rId34" Type="http://schemas.openxmlformats.org/officeDocument/2006/relationships/hyperlink" Target="http://xn--273--84d1f.xn--p1ai/akty_minobrnauki_rossii/prikaz-minobrnauki-rf-ot-17102013-no-1155" TargetMode="External"/><Relationship Id="rId7" Type="http://schemas.openxmlformats.org/officeDocument/2006/relationships/hyperlink" Target="http://xn--273--84d1f.xn--p1ai/akty_minobrnauki_rossii/prikaz-minobrnauki-rf-ot-17102013-no-1155" TargetMode="External"/><Relationship Id="rId12" Type="http://schemas.openxmlformats.org/officeDocument/2006/relationships/hyperlink" Target="http://xn--273--84d1f.xn--p1ai/zakonodatelstvo/federalnyy-zakon-ot-29-dekabrya-2012-g-no-273-fz-ob-obrazovanii-v-rf" TargetMode="External"/><Relationship Id="rId17" Type="http://schemas.openxmlformats.org/officeDocument/2006/relationships/hyperlink" Target="http://xn--273--84d1f.xn--p1ai/akty_minobrnauki_rossii/prikaz-minobrnauki-rf-ot-17102013-no-1155" TargetMode="External"/><Relationship Id="rId25" Type="http://schemas.openxmlformats.org/officeDocument/2006/relationships/hyperlink" Target="http://xn--273--84d1f.xn--p1ai/akty_minobrnauki_rossii/prikaz-minobrnauki-rf-ot-17102013-no-1155" TargetMode="External"/><Relationship Id="rId33" Type="http://schemas.openxmlformats.org/officeDocument/2006/relationships/hyperlink" Target="http://xn--273--84d1f.xn--p1ai/akty_minobrnauki_rossii/prikaz-minobrnauki-rf-ot-17102013-no-1155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xn--273--84d1f.xn--p1ai/akty_minobrnauki_rossii/prikaz-minobrnauki-rf-ot-17102013-no-1155" TargetMode="External"/><Relationship Id="rId20" Type="http://schemas.openxmlformats.org/officeDocument/2006/relationships/hyperlink" Target="http://xn--273--84d1f.xn--p1ai/zakonodatelstvo/federalnyy-zakon-ot-29-dekabrya-2012-g-no-273-fz-ob-obrazovanii-v-rf" TargetMode="External"/><Relationship Id="rId29" Type="http://schemas.openxmlformats.org/officeDocument/2006/relationships/hyperlink" Target="http://xn--273--84d1f.xn--p1ai/akty_minobrnauki_rossii/prikaz-minobrnauki-rf-ot-17102013-no-1155" TargetMode="External"/><Relationship Id="rId1" Type="http://schemas.openxmlformats.org/officeDocument/2006/relationships/styles" Target="styles.xml"/><Relationship Id="rId6" Type="http://schemas.openxmlformats.org/officeDocument/2006/relationships/hyperlink" Target="http://xn--273--84d1f.xn--p1ai/akty_minobrnauki_rossii/prikaz-minobrnauki-rf-ot-17102013-no-1155" TargetMode="External"/><Relationship Id="rId11" Type="http://schemas.openxmlformats.org/officeDocument/2006/relationships/hyperlink" Target="http://xn--273--84d1f.xn--p1ai/akty_minobrnauki_rossii/prikaz-minobrnauki-rf-ot-30082013-no-1014" TargetMode="External"/><Relationship Id="rId24" Type="http://schemas.openxmlformats.org/officeDocument/2006/relationships/hyperlink" Target="http://xn--273--84d1f.xn--p1ai/akty_minobrnauki_rossii/prikaz-minobrnauki-rf-ot-17102013-no-1155" TargetMode="External"/><Relationship Id="rId32" Type="http://schemas.openxmlformats.org/officeDocument/2006/relationships/hyperlink" Target="http://xn--273--84d1f.xn--p1ai/akty_minobrnauki_rossii/prikaz-minobrnauki-rf-ot-17102013-no-1155" TargetMode="External"/><Relationship Id="rId37" Type="http://schemas.openxmlformats.org/officeDocument/2006/relationships/hyperlink" Target="http://xn--273--84d1f.xn--p1ai/akty_minobrnauki_rossii/prikaz-minobrnauki-rf-ot-20092013-no-1082" TargetMode="External"/><Relationship Id="rId5" Type="http://schemas.openxmlformats.org/officeDocument/2006/relationships/hyperlink" Target="http://xn--273--84d1f.xn--p1ai/akty_minobrnauki_rossii/prikaz-minobrnauki-rf-ot-17102013-no-1155" TargetMode="External"/><Relationship Id="rId15" Type="http://schemas.openxmlformats.org/officeDocument/2006/relationships/hyperlink" Target="http://xn--273--84d1f.xn--p1ai/akty_minobrnauki_rossii/prikaz-minobrnauki-rf-ot-17102013-no-1155" TargetMode="External"/><Relationship Id="rId23" Type="http://schemas.openxmlformats.org/officeDocument/2006/relationships/hyperlink" Target="http://xn--273--84d1f.xn--p1ai/akty_minobrnauki_rossii/prikaz-minobrnauki-rf-ot-17102013-no-1155" TargetMode="External"/><Relationship Id="rId28" Type="http://schemas.openxmlformats.org/officeDocument/2006/relationships/hyperlink" Target="http://xn--273--84d1f.xn--p1ai/akty_minobrnauki_rossii/prikaz-minobrnauki-rf-ot-17102013-no-1155" TargetMode="External"/><Relationship Id="rId36" Type="http://schemas.openxmlformats.org/officeDocument/2006/relationships/hyperlink" Target="http://xn--273--84d1f.xn--p1ai/akty_minobrnauki_rossii/prikaz-minobrnauki-rf-ot-20092013-no-1082" TargetMode="External"/><Relationship Id="rId10" Type="http://schemas.openxmlformats.org/officeDocument/2006/relationships/hyperlink" Target="http://xn--273--84d1f.xn--p1ai/akty_minobrnauki_rossii/prikaz-minobrnauki-rf-ot-30082013-no-1014" TargetMode="External"/><Relationship Id="rId19" Type="http://schemas.openxmlformats.org/officeDocument/2006/relationships/hyperlink" Target="http://xn--273--84d1f.xn--p1ai/akty_minobrnauki_rossii/prikaz-minobrnauki-rf-ot-17102013-no-1155" TargetMode="External"/><Relationship Id="rId31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akty_minobrnauki_rossii/prikaz-minobrnauki-rf-ot-17102013-no-1155" TargetMode="External"/><Relationship Id="rId14" Type="http://schemas.openxmlformats.org/officeDocument/2006/relationships/hyperlink" Target="http://xn--273--84d1f.xn--p1ai/akty_minobrnauki_rossii/prikaz-minobrnauki-rf-ot-17102013-no-1155" TargetMode="External"/><Relationship Id="rId22" Type="http://schemas.openxmlformats.org/officeDocument/2006/relationships/hyperlink" Target="http://xn--273--84d1f.xn--p1ai/akty_minobrnauki_rossii/prikaz-minobrnauki-rf-ot-17102013-no-1155" TargetMode="External"/><Relationship Id="rId27" Type="http://schemas.openxmlformats.org/officeDocument/2006/relationships/hyperlink" Target="http://xn--273--84d1f.xn--p1ai/akty_minobrnauki_rossii/prikaz-minobrnauki-rf-ot-17102013-no-1155" TargetMode="External"/><Relationship Id="rId30" Type="http://schemas.openxmlformats.org/officeDocument/2006/relationships/hyperlink" Target="http://xn--273--84d1f.xn--p1ai/akty_minobrnauki_rossii/prikaz-minobrnauki-rf-ot-17102013-no-1155" TargetMode="External"/><Relationship Id="rId35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4263</Words>
  <Characters>24305</Characters>
  <Application>Microsoft Office Word</Application>
  <DocSecurity>0</DocSecurity>
  <Lines>202</Lines>
  <Paragraphs>57</Paragraphs>
  <ScaleCrop>false</ScaleCrop>
  <Company/>
  <LinksUpToDate>false</LinksUpToDate>
  <CharactersWithSpaces>28511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2021-07-15T04:55:00Z</dcterms:created>
  <dcterms:modified xsi:type="dcterms:W3CDTF">2021-07-15T06:09:00Z</dcterms:modified>
</cp:coreProperties>
</file>